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spacing w:before="234" w:line="222" w:lineRule="auto"/>
        <w:outlineLvl w:val="0"/>
        <w:jc w:val="right"/>
        <w:rPr>
          <w:rFonts w:ascii="SimHei" w:hAnsi="SimHei" w:eastAsia="SimHei" w:cs="SimHei"/>
          <w:sz w:val="72"/>
          <w:szCs w:val="72"/>
        </w:rPr>
      </w:pPr>
      <w:r>
        <w:rPr>
          <w:rFonts w:ascii="SimHei" w:hAnsi="SimHei" w:eastAsia="SimHei" w:cs="SimHei"/>
          <w:sz w:val="72"/>
          <w:szCs w:val="72"/>
          <w:b/>
          <w:bCs/>
          <w:spacing w:val="4"/>
        </w:rPr>
        <w:t>2023年度单位决算公开文本</w:t>
      </w:r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ind w:left="2925" w:right="2852" w:hanging="10"/>
        <w:spacing w:before="140" w:line="244" w:lineRule="auto"/>
        <w:rPr>
          <w:rFonts w:ascii="KaiTi" w:hAnsi="KaiTi" w:eastAsia="KaiTi" w:cs="KaiTi"/>
          <w:sz w:val="43"/>
          <w:szCs w:val="43"/>
        </w:rPr>
      </w:pPr>
      <w:r>
        <w:rPr>
          <w:rFonts w:ascii="KaiTi" w:hAnsi="KaiTi" w:eastAsia="KaiTi" w:cs="KaiTi"/>
          <w:sz w:val="43"/>
          <w:szCs w:val="43"/>
          <w:b/>
          <w:bCs/>
          <w:spacing w:val="-1"/>
        </w:rPr>
        <w:t>容城县人民医院</w:t>
      </w:r>
      <w:r>
        <w:rPr>
          <w:rFonts w:ascii="KaiTi" w:hAnsi="KaiTi" w:eastAsia="KaiTi" w:cs="KaiTi"/>
          <w:sz w:val="43"/>
          <w:szCs w:val="43"/>
          <w:spacing w:val="2"/>
        </w:rPr>
        <w:t xml:space="preserve"> </w:t>
      </w:r>
      <w:r>
        <w:rPr>
          <w:rFonts w:ascii="KaiTi" w:hAnsi="KaiTi" w:eastAsia="KaiTi" w:cs="KaiTi"/>
          <w:sz w:val="43"/>
          <w:szCs w:val="43"/>
          <w:b/>
          <w:bCs/>
          <w:spacing w:val="-7"/>
        </w:rPr>
        <w:t>二○二四年九月</w:t>
      </w:r>
    </w:p>
    <w:p>
      <w:pPr>
        <w:spacing w:line="244" w:lineRule="auto"/>
        <w:sectPr>
          <w:pgSz w:w="12210" w:h="17100"/>
          <w:pgMar w:top="1453" w:right="1773" w:bottom="0" w:left="1630" w:header="0" w:footer="0" w:gutter="0"/>
        </w:sectPr>
        <w:rPr>
          <w:rFonts w:ascii="KaiTi" w:hAnsi="KaiTi" w:eastAsia="KaiTi" w:cs="KaiTi"/>
          <w:sz w:val="43"/>
          <w:szCs w:val="43"/>
        </w:rPr>
      </w:pPr>
    </w:p>
    <w:p>
      <w:pPr>
        <w:ind w:left="1931"/>
        <w:spacing w:before="333"/>
        <w:rPr>
          <w:rFonts w:ascii="SimHei" w:hAnsi="SimHei" w:eastAsia="SimHei" w:cs="SimHei"/>
          <w:sz w:val="45"/>
          <w:szCs w:val="45"/>
        </w:rPr>
      </w:pPr>
      <w:r>
        <w:rPr>
          <w:rFonts w:ascii="SimHei" w:hAnsi="SimHei" w:eastAsia="SimHei" w:cs="SimHei"/>
          <w:sz w:val="45"/>
          <w:szCs w:val="45"/>
          <w:position w:val="-33"/>
        </w:rPr>
        <w:drawing>
          <wp:inline distT="0" distB="0" distL="0" distR="0">
            <wp:extent cx="584190" cy="70484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4190" cy="70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hAnsi="SimHei" w:eastAsia="SimHei" w:cs="SimHei"/>
          <w:sz w:val="45"/>
          <w:szCs w:val="45"/>
          <w:spacing w:val="83"/>
        </w:rPr>
        <w:t xml:space="preserve">  </w:t>
      </w:r>
      <w:r>
        <w:rPr>
          <w:rFonts w:ascii="SimHei" w:hAnsi="SimHei" w:eastAsia="SimHei" w:cs="SimHei"/>
          <w:sz w:val="45"/>
          <w:szCs w:val="45"/>
          <w:b/>
          <w:bCs/>
          <w:spacing w:val="-42"/>
        </w:rPr>
        <w:t>目</w:t>
      </w:r>
      <w:r>
        <w:rPr>
          <w:rFonts w:ascii="SimHei" w:hAnsi="SimHei" w:eastAsia="SimHei" w:cs="SimHei"/>
          <w:sz w:val="45"/>
          <w:szCs w:val="45"/>
          <w:spacing w:val="3"/>
        </w:rPr>
        <w:t xml:space="preserve">    </w:t>
      </w:r>
      <w:r>
        <w:rPr>
          <w:rFonts w:ascii="SimHei" w:hAnsi="SimHei" w:eastAsia="SimHei" w:cs="SimHei"/>
          <w:sz w:val="45"/>
          <w:szCs w:val="45"/>
          <w:b/>
          <w:bCs/>
          <w:spacing w:val="-42"/>
        </w:rPr>
        <w:t>录</w:t>
      </w:r>
    </w:p>
    <w:p>
      <w:pPr>
        <w:pStyle w:val="BodyText"/>
        <w:spacing w:line="323" w:lineRule="auto"/>
        <w:rPr/>
      </w:pPr>
      <w:r/>
    </w:p>
    <w:p>
      <w:pPr>
        <w:pStyle w:val="BodyText"/>
        <w:spacing w:line="324" w:lineRule="auto"/>
        <w:rPr/>
      </w:pPr>
      <w:r/>
    </w:p>
    <w:p>
      <w:pPr>
        <w:ind w:left="516"/>
        <w:spacing w:before="10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17"/>
        </w:rPr>
        <w:t>第一部分</w:t>
      </w:r>
      <w:r>
        <w:rPr>
          <w:rFonts w:ascii="SimHei" w:hAnsi="SimHei" w:eastAsia="SimHei" w:cs="SimHei"/>
          <w:sz w:val="32"/>
          <w:szCs w:val="32"/>
          <w:spacing w:val="159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17"/>
        </w:rPr>
        <w:t>单位概况</w:t>
      </w:r>
    </w:p>
    <w:p>
      <w:pPr>
        <w:ind w:left="1142" w:right="5311"/>
        <w:spacing w:before="338" w:line="41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一、单位职责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二、机构设置</w:t>
      </w:r>
    </w:p>
    <w:p>
      <w:pPr>
        <w:ind w:left="511"/>
        <w:spacing w:before="69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34"/>
        </w:rPr>
        <w:t>第二部分2023年度单位决算报表</w:t>
      </w:r>
    </w:p>
    <w:p>
      <w:pPr>
        <w:pStyle w:val="BodyText"/>
        <w:spacing w:line="247" w:lineRule="auto"/>
        <w:rPr/>
      </w:pPr>
      <w:r/>
    </w:p>
    <w:p>
      <w:pPr>
        <w:ind w:left="1141" w:right="2130" w:hanging="630"/>
        <w:spacing w:before="104" w:line="41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32"/>
        </w:rPr>
        <w:t>第三部分2023年度单位决算情况说明</w:t>
      </w:r>
      <w:r>
        <w:rPr>
          <w:rFonts w:ascii="SimHei" w:hAnsi="SimHei" w:eastAsia="SimHei" w:cs="SimHei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一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、收入支出决算总体情况说明</w:t>
      </w:r>
    </w:p>
    <w:p>
      <w:pPr>
        <w:ind w:left="1142"/>
        <w:spacing w:before="4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二、收入决算情况说明</w:t>
      </w:r>
    </w:p>
    <w:p>
      <w:pPr>
        <w:ind w:left="1142"/>
        <w:spacing w:before="34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三、支出决算情况说明</w:t>
      </w:r>
    </w:p>
    <w:p>
      <w:pPr>
        <w:pStyle w:val="BodyText"/>
        <w:spacing w:line="269" w:lineRule="auto"/>
        <w:rPr/>
      </w:pPr>
      <w:r/>
    </w:p>
    <w:p>
      <w:pPr>
        <w:ind w:left="1142"/>
        <w:spacing w:before="10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四、财政拨款收入支出决算总体情况说明</w:t>
      </w:r>
    </w:p>
    <w:p>
      <w:pPr>
        <w:pStyle w:val="BodyText"/>
        <w:spacing w:line="269" w:lineRule="auto"/>
        <w:rPr/>
      </w:pPr>
      <w:r/>
    </w:p>
    <w:p>
      <w:pPr>
        <w:ind w:left="1142"/>
        <w:spacing w:before="10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五、财政拨款“三公”经费支出决算情况说明</w:t>
      </w:r>
    </w:p>
    <w:p>
      <w:pPr>
        <w:pStyle w:val="BodyText"/>
        <w:spacing w:line="248" w:lineRule="auto"/>
        <w:rPr/>
      </w:pPr>
      <w:r/>
    </w:p>
    <w:p>
      <w:pPr>
        <w:ind w:left="1142"/>
        <w:spacing w:before="10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六、机关运行经费支出说明</w:t>
      </w:r>
    </w:p>
    <w:p>
      <w:pPr>
        <w:ind w:left="1142"/>
        <w:spacing w:before="34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七、政府采购支出说明</w:t>
      </w:r>
    </w:p>
    <w:p>
      <w:pPr>
        <w:pStyle w:val="BodyText"/>
        <w:spacing w:line="259" w:lineRule="auto"/>
        <w:rPr/>
      </w:pPr>
      <w:r/>
    </w:p>
    <w:p>
      <w:pPr>
        <w:ind w:left="1142" w:right="3359"/>
        <w:spacing w:before="105" w:line="40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八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、国有资产占用情况说明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九</w:t>
      </w:r>
      <w:r>
        <w:rPr>
          <w:rFonts w:ascii="FangSong" w:hAnsi="FangSong" w:eastAsia="FangSong" w:cs="FangSong"/>
          <w:sz w:val="32"/>
          <w:szCs w:val="32"/>
          <w:spacing w:val="-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、预算绩效情况说明</w:t>
      </w:r>
    </w:p>
    <w:p>
      <w:pPr>
        <w:ind w:left="516"/>
        <w:spacing w:before="61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34"/>
        </w:rPr>
        <w:t>第四部分名词解释</w:t>
      </w:r>
    </w:p>
    <w:p>
      <w:pPr>
        <w:spacing w:line="222" w:lineRule="auto"/>
        <w:sectPr>
          <w:pgSz w:w="11920" w:h="16900"/>
          <w:pgMar w:top="1436" w:right="1788" w:bottom="0" w:left="1788" w:header="0" w:footer="0" w:gutter="0"/>
        </w:sectPr>
        <w:rPr>
          <w:rFonts w:ascii="SimHei" w:hAnsi="SimHei" w:eastAsia="SimHei" w:cs="SimHei"/>
          <w:sz w:val="32"/>
          <w:szCs w:val="32"/>
        </w:rPr>
      </w:pPr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148079</wp:posOffset>
            </wp:positionV>
            <wp:extent cx="812780" cy="749351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12780" cy="7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2906"/>
        <w:spacing w:before="150" w:line="221" w:lineRule="auto"/>
        <w:rPr>
          <w:rFonts w:ascii="SimHei" w:hAnsi="SimHei" w:eastAsia="SimHei" w:cs="SimHei"/>
          <w:sz w:val="46"/>
          <w:szCs w:val="46"/>
        </w:rPr>
      </w:pPr>
      <w:r>
        <w:rPr>
          <w:rFonts w:ascii="SimHei" w:hAnsi="SimHei" w:eastAsia="SimHei" w:cs="SimHei"/>
          <w:sz w:val="46"/>
          <w:szCs w:val="46"/>
          <w:b/>
          <w:bCs/>
          <w:spacing w:val="28"/>
        </w:rPr>
        <w:t>第一部分单位概况</w:t>
      </w:r>
    </w:p>
    <w:p>
      <w:pPr>
        <w:spacing w:line="221" w:lineRule="auto"/>
        <w:sectPr>
          <w:pgSz w:w="11920" w:h="16880"/>
          <w:pgMar w:top="1434" w:right="1788" w:bottom="0" w:left="1310" w:header="0" w:footer="0" w:gutter="0"/>
        </w:sectPr>
        <w:rPr>
          <w:rFonts w:ascii="SimHei" w:hAnsi="SimHei" w:eastAsia="SimHei" w:cs="SimHei"/>
          <w:sz w:val="46"/>
          <w:szCs w:val="46"/>
        </w:rPr>
      </w:pPr>
    </w:p>
    <w:p>
      <w:pPr>
        <w:ind w:left="674"/>
        <w:spacing w:before="70" w:line="221" w:lineRule="auto"/>
        <w:outlineLvl w:val="0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b/>
          <w:bCs/>
          <w:spacing w:val="-39"/>
        </w:rPr>
        <w:t>一、单位职责</w:t>
      </w:r>
    </w:p>
    <w:p>
      <w:pPr>
        <w:ind w:right="3" w:firstLine="669"/>
        <w:spacing w:before="220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我院为县人民政府举办的国家级二级甲等综合性县人民医院，主要职责如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下：</w:t>
      </w:r>
    </w:p>
    <w:p>
      <w:pPr>
        <w:ind w:right="12" w:firstLine="819"/>
        <w:spacing w:before="68" w:line="27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(一)做为全县医疗业务技术服务中心，承担县内常见病、多发病的诊治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工作，开展二级专科服务，承担急危重症抢救和复杂疑难</w:t>
      </w:r>
      <w:r>
        <w:rPr>
          <w:rFonts w:ascii="FangSong" w:hAnsi="FangSong" w:eastAsia="FangSong" w:cs="FangSong"/>
          <w:sz w:val="32"/>
          <w:szCs w:val="32"/>
          <w:spacing w:val="-3"/>
        </w:rPr>
        <w:t>病症诊治任务。</w:t>
      </w:r>
    </w:p>
    <w:p>
      <w:pPr>
        <w:ind w:firstLine="819"/>
        <w:spacing w:before="201" w:line="28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(二)做为我县急救中心，承担急救和各类突发事</w:t>
      </w:r>
      <w:r>
        <w:rPr>
          <w:rFonts w:ascii="FangSong" w:hAnsi="FangSong" w:eastAsia="FangSong" w:cs="FangSong"/>
          <w:sz w:val="32"/>
          <w:szCs w:val="32"/>
        </w:rPr>
        <w:t>故的现场抢救及院内急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救。</w:t>
      </w:r>
    </w:p>
    <w:p>
      <w:pPr>
        <w:ind w:left="819"/>
        <w:spacing w:before="196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(三)做为我县的法医鉴定中心，承担法医鉴</w:t>
      </w:r>
      <w:r>
        <w:rPr>
          <w:rFonts w:ascii="FangSong" w:hAnsi="FangSong" w:eastAsia="FangSong" w:cs="FangSong"/>
          <w:sz w:val="32"/>
          <w:szCs w:val="32"/>
          <w:spacing w:val="2"/>
        </w:rPr>
        <w:t>定工作；</w:t>
      </w:r>
    </w:p>
    <w:p>
      <w:pPr>
        <w:ind w:right="13" w:firstLine="819"/>
        <w:spacing w:before="185" w:line="2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(四)接受下级医疗卫生机构的转诊，指导乡(镇)卫生院做好医疗、康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复、预防保健等业务技术工作。</w:t>
      </w:r>
    </w:p>
    <w:p>
      <w:pPr>
        <w:ind w:right="7" w:firstLine="819"/>
        <w:spacing w:before="198" w:line="2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(五)贯彻执行传染病预防诊治和管理工作，开展健康教育，进行防病指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导。</w:t>
      </w:r>
    </w:p>
    <w:p>
      <w:pPr>
        <w:ind w:left="819"/>
        <w:spacing w:before="20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(六)承担县卫生局及县政府下达的其它任务。</w:t>
      </w:r>
    </w:p>
    <w:p>
      <w:pPr>
        <w:ind w:left="664"/>
        <w:spacing w:before="171" w:line="222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9"/>
        </w:rPr>
        <w:t>二、机构设置</w:t>
      </w:r>
    </w:p>
    <w:p>
      <w:pPr>
        <w:ind w:left="49" w:right="8" w:firstLine="619"/>
        <w:spacing w:before="207" w:line="283" w:lineRule="auto"/>
        <w:rPr>
          <w:rFonts w:ascii="SimSun" w:hAnsi="SimSun" w:eastAsia="SimSun" w:cs="SimSun"/>
          <w:sz w:val="33"/>
          <w:szCs w:val="33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从决算编报单位构成看，纳入2023年度本部门决算汇编范围的独立</w:t>
      </w:r>
      <w:r>
        <w:rPr>
          <w:rFonts w:ascii="FangSong" w:hAnsi="FangSong" w:eastAsia="FangSong" w:cs="FangSong"/>
          <w:sz w:val="32"/>
          <w:szCs w:val="32"/>
          <w:spacing w:val="4"/>
        </w:rPr>
        <w:t>核算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SimSun" w:hAnsi="SimSun" w:eastAsia="SimSun" w:cs="SimSun"/>
          <w:sz w:val="33"/>
          <w:szCs w:val="33"/>
          <w:spacing w:val="-1"/>
        </w:rPr>
        <w:t>单位(以下简称“单位”)共1个，具体情况如下：</w:t>
      </w:r>
    </w:p>
    <w:tbl>
      <w:tblPr>
        <w:tblStyle w:val="TableNormal"/>
        <w:tblW w:w="9569" w:type="dxa"/>
        <w:tblInd w:w="62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64"/>
        <w:gridCol w:w="2986"/>
        <w:gridCol w:w="2937"/>
        <w:gridCol w:w="2682"/>
      </w:tblGrid>
      <w:tr>
        <w:trPr>
          <w:trHeight w:val="820" w:hRule="atLeast"/>
        </w:trPr>
        <w:tc>
          <w:tcPr>
            <w:tcW w:w="96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right="11"/>
              <w:spacing w:before="91" w:line="221" w:lineRule="auto"/>
              <w:jc w:val="righ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</w:rPr>
              <w:t>序号</w:t>
            </w:r>
          </w:p>
        </w:tc>
        <w:tc>
          <w:tcPr>
            <w:tcW w:w="298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940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单位名称</w:t>
            </w:r>
          </w:p>
        </w:tc>
        <w:tc>
          <w:tcPr>
            <w:tcW w:w="293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625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单位基本性质</w:t>
            </w:r>
          </w:p>
        </w:tc>
        <w:tc>
          <w:tcPr>
            <w:tcW w:w="2682" w:type="dxa"/>
            <w:vAlign w:val="top"/>
          </w:tcPr>
          <w:p>
            <w:pPr>
              <w:ind w:left="777"/>
              <w:spacing w:before="277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经费形式</w:t>
            </w:r>
          </w:p>
        </w:tc>
      </w:tr>
      <w:tr>
        <w:trPr>
          <w:trHeight w:val="1109" w:hRule="atLeast"/>
        </w:trPr>
        <w:tc>
          <w:tcPr>
            <w:tcW w:w="964" w:type="dxa"/>
            <w:vAlign w:val="top"/>
          </w:tcPr>
          <w:p>
            <w:pPr>
              <w:ind w:left="364"/>
              <w:spacing w:before="317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1</w:t>
            </w:r>
          </w:p>
        </w:tc>
        <w:tc>
          <w:tcPr>
            <w:tcW w:w="2986" w:type="dxa"/>
            <w:vAlign w:val="top"/>
          </w:tcPr>
          <w:p>
            <w:pPr>
              <w:ind w:left="370"/>
              <w:spacing w:before="216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容城县人民医院</w:t>
            </w:r>
          </w:p>
        </w:tc>
        <w:tc>
          <w:tcPr>
            <w:tcW w:w="2937" w:type="dxa"/>
            <w:vAlign w:val="top"/>
          </w:tcPr>
          <w:p>
            <w:pPr>
              <w:ind w:left="345"/>
              <w:spacing w:before="207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经费自理事业单位</w:t>
            </w:r>
          </w:p>
        </w:tc>
        <w:tc>
          <w:tcPr>
            <w:tcW w:w="2682" w:type="dxa"/>
            <w:vAlign w:val="top"/>
          </w:tcPr>
          <w:p>
            <w:pPr>
              <w:ind w:left="777" w:right="200" w:hanging="560"/>
              <w:spacing w:before="207" w:line="29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财政性资金定额或</w:t>
            </w: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定项补助</w:t>
            </w:r>
          </w:p>
        </w:tc>
      </w:tr>
    </w:tbl>
    <w:p>
      <w:pPr>
        <w:ind w:left="669" w:right="754"/>
        <w:spacing w:before="193" w:line="28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1"/>
        </w:rPr>
        <w:t>注：1、单位基本性质分为行政单位、参公事业单位、财政补助事业单位、经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9"/>
        </w:rPr>
        <w:t>费自理事业单位四类。</w:t>
      </w:r>
    </w:p>
    <w:p>
      <w:pPr>
        <w:ind w:left="669" w:right="704" w:firstLine="580"/>
        <w:spacing w:before="120" w:line="29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0"/>
        </w:rPr>
        <w:t>2、经费形式分为财政拨款、财政性资金基本保证、财政性资金定额或定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0"/>
        </w:rPr>
        <w:t>项补助、财政性资金零补助四类。</w:t>
      </w:r>
    </w:p>
    <w:p>
      <w:pPr>
        <w:spacing w:line="296" w:lineRule="auto"/>
        <w:sectPr>
          <w:pgSz w:w="11920" w:h="16880"/>
          <w:pgMar w:top="1125" w:right="466" w:bottom="0" w:left="690" w:header="0" w:footer="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spacing w:before="147"/>
        <w:rPr>
          <w:rFonts w:ascii="SimHei" w:hAnsi="SimHei" w:eastAsia="SimHei" w:cs="SimHei"/>
          <w:sz w:val="45"/>
          <w:szCs w:val="45"/>
        </w:rPr>
      </w:pPr>
      <w:r>
        <w:rPr>
          <w:rFonts w:ascii="SimHei" w:hAnsi="SimHei" w:eastAsia="SimHei" w:cs="SimHei"/>
          <w:sz w:val="45"/>
          <w:szCs w:val="45"/>
          <w:position w:val="-30"/>
        </w:rPr>
        <w:drawing>
          <wp:inline distT="0" distB="0" distL="0" distR="0">
            <wp:extent cx="552400" cy="654060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2400" cy="65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hAnsi="SimHei" w:eastAsia="SimHei" w:cs="SimHei"/>
          <w:sz w:val="45"/>
          <w:szCs w:val="45"/>
          <w:spacing w:val="79"/>
        </w:rPr>
        <w:t xml:space="preserve">  </w:t>
      </w:r>
      <w:r>
        <w:rPr>
          <w:rFonts w:ascii="SimHei" w:hAnsi="SimHei" w:eastAsia="SimHei" w:cs="SimHei"/>
          <w:sz w:val="45"/>
          <w:szCs w:val="45"/>
          <w:b/>
          <w:bCs/>
          <w:spacing w:val="22"/>
        </w:rPr>
        <w:t>第二部分2023年度单位决算表</w:t>
      </w:r>
    </w:p>
    <w:p>
      <w:pPr>
        <w:pStyle w:val="BodyText"/>
        <w:spacing w:line="358" w:lineRule="auto"/>
        <w:rPr/>
      </w:pPr>
      <w:r/>
    </w:p>
    <w:p>
      <w:pPr>
        <w:pStyle w:val="BodyText"/>
        <w:spacing w:line="359" w:lineRule="auto"/>
        <w:rPr/>
      </w:pPr>
      <w:r/>
    </w:p>
    <w:p>
      <w:pPr>
        <w:ind w:left="174"/>
        <w:spacing w:before="10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6"/>
        </w:rPr>
        <w:t>报表见附件：</w:t>
      </w:r>
    </w:p>
    <w:p>
      <w:pPr>
        <w:ind w:left="224"/>
        <w:spacing w:before="287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10"/>
        </w:rPr>
        <w:t>2023年容城县人民医院决算表</w:t>
      </w:r>
    </w:p>
    <w:p>
      <w:pPr>
        <w:spacing w:line="222" w:lineRule="auto"/>
        <w:sectPr>
          <w:pgSz w:w="11920" w:h="16880"/>
          <w:pgMar w:top="1434" w:right="1788" w:bottom="0" w:left="1440" w:header="0" w:footer="0" w:gutter="0"/>
        </w:sectPr>
        <w:rPr>
          <w:rFonts w:ascii="SimHei" w:hAnsi="SimHei" w:eastAsia="SimHei" w:cs="SimHei"/>
          <w:sz w:val="32"/>
          <w:szCs w:val="32"/>
        </w:rPr>
      </w:pPr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155483</wp:posOffset>
            </wp:positionV>
            <wp:extent cx="711214" cy="673140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1214" cy="67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1376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539757</wp:posOffset>
            </wp:positionH>
            <wp:positionV relativeFrom="paragraph">
              <wp:posOffset>636481</wp:posOffset>
            </wp:positionV>
            <wp:extent cx="6350" cy="5073635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507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44"/>
          <w:szCs w:val="44"/>
          <w:b/>
          <w:bCs/>
          <w:spacing w:val="-10"/>
        </w:rPr>
        <w:t>第三部分</w:t>
      </w:r>
      <w:r>
        <w:rPr>
          <w:rFonts w:ascii="SimSun" w:hAnsi="SimSun" w:eastAsia="SimSun" w:cs="SimSun"/>
          <w:sz w:val="44"/>
          <w:szCs w:val="44"/>
          <w:spacing w:val="-10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10"/>
        </w:rPr>
        <w:t>2022</w:t>
      </w:r>
      <w:r>
        <w:rPr>
          <w:rFonts w:ascii="SimSun" w:hAnsi="SimSun" w:eastAsia="SimSun" w:cs="SimSun"/>
          <w:sz w:val="44"/>
          <w:szCs w:val="44"/>
          <w:spacing w:val="-10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10"/>
        </w:rPr>
        <w:t>年度单位决算情况说明</w:t>
      </w:r>
    </w:p>
    <w:p>
      <w:pPr>
        <w:spacing w:line="219" w:lineRule="auto"/>
        <w:sectPr>
          <w:pgSz w:w="11760" w:h="16880"/>
          <w:pgMar w:top="1434" w:right="1764" w:bottom="0" w:left="840" w:header="0" w:footer="0" w:gutter="0"/>
        </w:sectPr>
        <w:rPr>
          <w:rFonts w:ascii="SimSun" w:hAnsi="SimSun" w:eastAsia="SimSun" w:cs="SimSun"/>
          <w:sz w:val="44"/>
          <w:szCs w:val="44"/>
        </w:rPr>
      </w:pPr>
    </w:p>
    <w:p>
      <w:pPr>
        <w:pStyle w:val="BodyText"/>
        <w:spacing w:line="355" w:lineRule="auto"/>
        <w:rPr/>
      </w:pPr>
      <w:r/>
    </w:p>
    <w:p>
      <w:pPr>
        <w:pStyle w:val="BodyText"/>
        <w:spacing w:line="355" w:lineRule="auto"/>
        <w:rPr/>
      </w:pPr>
      <w:r/>
    </w:p>
    <w:p>
      <w:pPr>
        <w:ind w:left="634"/>
        <w:spacing w:before="108" w:line="221" w:lineRule="auto"/>
        <w:outlineLvl w:val="2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5"/>
        </w:rPr>
        <w:t>一、收入支出决算总体情况说明</w:t>
      </w:r>
    </w:p>
    <w:p>
      <w:pPr>
        <w:ind w:right="134" w:firstLine="630"/>
        <w:spacing w:before="171" w:line="320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4"/>
        </w:rPr>
        <w:t>本单位2023年度收、支总计(含结转和结余)44044.1万</w:t>
      </w:r>
      <w:r>
        <w:rPr>
          <w:rFonts w:ascii="FangSong" w:hAnsi="FangSong" w:eastAsia="FangSong" w:cs="FangSong"/>
          <w:sz w:val="33"/>
          <w:szCs w:val="33"/>
          <w:spacing w:val="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7"/>
        </w:rPr>
        <w:t>元。与2022年度决算相比，收支各减少1151.04万元，降低2.55%,</w:t>
      </w:r>
      <w:r>
        <w:rPr>
          <w:rFonts w:ascii="FangSong" w:hAnsi="FangSong" w:eastAsia="FangSong" w:cs="FangSong"/>
          <w:sz w:val="33"/>
          <w:szCs w:val="33"/>
          <w:spacing w:val="1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主要原因是是上年度受新冠疫情影响，财政补助收支大幅增加，</w:t>
      </w:r>
      <w:r>
        <w:rPr>
          <w:rFonts w:ascii="FangSong" w:hAnsi="FangSong" w:eastAsia="FangSong" w:cs="FangSong"/>
          <w:sz w:val="33"/>
          <w:szCs w:val="33"/>
          <w:spacing w:val="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5"/>
        </w:rPr>
        <w:t>本年度医疗收支较去年有所增长，但财政补助</w:t>
      </w:r>
      <w:r>
        <w:rPr>
          <w:rFonts w:ascii="FangSong" w:hAnsi="FangSong" w:eastAsia="FangSong" w:cs="FangSong"/>
          <w:sz w:val="33"/>
          <w:szCs w:val="33"/>
          <w:spacing w:val="-16"/>
        </w:rPr>
        <w:t>收支较去年大幅降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低。</w:t>
      </w:r>
    </w:p>
    <w:p>
      <w:pPr>
        <w:ind w:left="634"/>
        <w:spacing w:before="63" w:line="221" w:lineRule="auto"/>
        <w:outlineLvl w:val="2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5"/>
        </w:rPr>
        <w:t>二、收入决算情况说明</w:t>
      </w:r>
    </w:p>
    <w:p>
      <w:pPr>
        <w:ind w:firstLine="630"/>
        <w:spacing w:before="187" w:line="31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"/>
        </w:rPr>
        <w:t>本单位2023年度收入合计39056.37万元</w:t>
      </w:r>
      <w:r>
        <w:rPr>
          <w:rFonts w:ascii="FangSong" w:hAnsi="FangSong" w:eastAsia="FangSong" w:cs="FangSong"/>
          <w:sz w:val="33"/>
          <w:szCs w:val="33"/>
          <w:spacing w:val="-3"/>
        </w:rPr>
        <w:t>，其中：财政拨款</w:t>
      </w:r>
      <w:r>
        <w:rPr>
          <w:rFonts w:ascii="FangSong" w:hAnsi="FangSong" w:eastAsia="FangSong" w:cs="FangSong"/>
          <w:sz w:val="33"/>
          <w:szCs w:val="33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6"/>
        </w:rPr>
        <w:t>收入2818.38万元，占7.22%;事业收入33213.82万元，占85.04%;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2"/>
        </w:rPr>
        <w:t>其他收入3024.18万元，占7.74%。</w:t>
      </w:r>
    </w:p>
    <w:p>
      <w:pPr>
        <w:ind w:left="634"/>
        <w:spacing w:before="64" w:line="221" w:lineRule="auto"/>
        <w:outlineLvl w:val="2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5"/>
        </w:rPr>
        <w:t>三、支出决算情况说明</w:t>
      </w:r>
    </w:p>
    <w:p>
      <w:pPr>
        <w:ind w:left="190" w:right="34" w:firstLine="649"/>
        <w:spacing w:before="147" w:line="34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8"/>
        </w:rPr>
        <w:t>本单位2023年度支出合计36680.32万元，</w:t>
      </w:r>
      <w:r>
        <w:rPr>
          <w:rFonts w:ascii="FangSong" w:hAnsi="FangSong" w:eastAsia="FangSong" w:cs="FangSong"/>
          <w:sz w:val="33"/>
          <w:szCs w:val="33"/>
          <w:spacing w:val="-9"/>
        </w:rPr>
        <w:t>其中：基本支出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4"/>
        </w:rPr>
        <w:t>31382.29万元，占85.56%;项目支出5298.03万元，占14.44%。</w:t>
      </w:r>
    </w:p>
    <w:p>
      <w:pPr>
        <w:ind w:left="634"/>
        <w:spacing w:before="78" w:line="221" w:lineRule="auto"/>
        <w:outlineLvl w:val="2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5"/>
        </w:rPr>
        <w:t>四、财政拨款收入支出决算总体情况说明</w:t>
      </w:r>
    </w:p>
    <w:p>
      <w:pPr>
        <w:ind w:left="814"/>
        <w:spacing w:before="175" w:line="225" w:lineRule="auto"/>
        <w:outlineLvl w:val="2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b/>
          <w:bCs/>
          <w:spacing w:val="2"/>
        </w:rPr>
        <w:t>(一)财政拨款收支与2022年度决算对比情况</w:t>
      </w:r>
    </w:p>
    <w:p>
      <w:pPr>
        <w:ind w:right="134" w:firstLine="630"/>
        <w:spacing w:before="180" w:line="321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3"/>
        </w:rPr>
        <w:t>本单位2023年度财政拨款本年收入2818.38万元，比2022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2"/>
        </w:rPr>
        <w:t>年度减少11908.05万元，降低80.86%,主要是上年度受本地区</w:t>
      </w:r>
      <w:r>
        <w:rPr>
          <w:rFonts w:ascii="FangSong" w:hAnsi="FangSong" w:eastAsia="FangSong" w:cs="FangSong"/>
          <w:sz w:val="33"/>
          <w:szCs w:val="33"/>
          <w:spacing w:val="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5"/>
        </w:rPr>
        <w:t>新冠疫情发展情况影响，加大对方舱医院建设及设备购置支出和</w:t>
      </w:r>
      <w:r>
        <w:rPr>
          <w:rFonts w:ascii="FangSong" w:hAnsi="FangSong" w:eastAsia="FangSong" w:cs="FangSong"/>
          <w:sz w:val="33"/>
          <w:szCs w:val="33"/>
          <w:spacing w:val="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5"/>
        </w:rPr>
        <w:t>突发应急防控能力提升建设方面的财政补助力度，还有医院整体</w:t>
      </w:r>
      <w:r>
        <w:rPr>
          <w:rFonts w:ascii="FangSong" w:hAnsi="FangSong" w:eastAsia="FangSong" w:cs="FangSong"/>
          <w:sz w:val="33"/>
          <w:szCs w:val="33"/>
          <w:spacing w:val="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医疗服务能力提升建设财政补助力度，财政补助收入大幅增加；</w:t>
      </w:r>
      <w:r>
        <w:rPr>
          <w:rFonts w:ascii="FangSong" w:hAnsi="FangSong" w:eastAsia="FangSong" w:cs="FangSong"/>
          <w:sz w:val="33"/>
          <w:szCs w:val="33"/>
          <w:spacing w:val="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1"/>
        </w:rPr>
        <w:t>本年支出5214.13万元，减少7610.43万元，降低59.35%,主</w:t>
      </w:r>
    </w:p>
    <w:p>
      <w:pPr>
        <w:spacing w:line="321" w:lineRule="auto"/>
        <w:sectPr>
          <w:pgSz w:w="11910" w:h="16980"/>
          <w:pgMar w:top="1443" w:right="1390" w:bottom="0" w:left="1529" w:header="0" w:footer="0" w:gutter="0"/>
        </w:sectPr>
        <w:rPr>
          <w:rFonts w:ascii="FangSong" w:hAnsi="FangSong" w:eastAsia="FangSong" w:cs="FangSong"/>
          <w:sz w:val="33"/>
          <w:szCs w:val="33"/>
        </w:rPr>
      </w:pPr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right="130"/>
        <w:spacing w:before="108" w:line="315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5"/>
        </w:rPr>
        <w:t>要是上年度新冠疫情影响导致防疫相关项目支出及突发应急资</w:t>
      </w:r>
      <w:r>
        <w:rPr>
          <w:rFonts w:ascii="FangSong" w:hAnsi="FangSong" w:eastAsia="FangSong" w:cs="FangSong"/>
          <w:sz w:val="33"/>
          <w:szCs w:val="33"/>
          <w:spacing w:val="1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3"/>
        </w:rPr>
        <w:t>金支出大幅增加，财政补助支出大幅增加。</w:t>
      </w:r>
    </w:p>
    <w:p>
      <w:pPr>
        <w:ind w:left="804"/>
        <w:spacing w:before="19" w:line="225" w:lineRule="auto"/>
        <w:outlineLvl w:val="2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b/>
          <w:bCs/>
          <w:spacing w:val="-5"/>
        </w:rPr>
        <w:t>(二)财政拨款收支与年初预算数对比情况</w:t>
      </w:r>
    </w:p>
    <w:p>
      <w:pPr>
        <w:ind w:right="94" w:firstLine="600"/>
        <w:spacing w:before="184" w:line="324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4"/>
        </w:rPr>
        <w:t>1.  </w:t>
      </w:r>
      <w:r>
        <w:rPr>
          <w:rFonts w:ascii="FangSong" w:hAnsi="FangSong" w:eastAsia="FangSong" w:cs="FangSong"/>
          <w:sz w:val="33"/>
          <w:szCs w:val="33"/>
          <w:spacing w:val="4"/>
        </w:rPr>
        <w:t>本单位2023年度财政拨款本年收入2818.38万元，完</w:t>
      </w:r>
      <w:r>
        <w:rPr>
          <w:rFonts w:ascii="FangSong" w:hAnsi="FangSong" w:eastAsia="FangSong" w:cs="FangSong"/>
          <w:sz w:val="33"/>
          <w:szCs w:val="33"/>
          <w:spacing w:val="1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"/>
        </w:rPr>
        <w:t>成年初预算的563.67%,比年初预算增加2318.38万元，决算数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7"/>
        </w:rPr>
        <w:t>大于预算数主要原因是市民服务中心发热门诊运营经费、方舱医</w:t>
      </w:r>
      <w:r>
        <w:rPr>
          <w:rFonts w:ascii="FangSong" w:hAnsi="FangSong" w:eastAsia="FangSong" w:cs="FangSong"/>
          <w:sz w:val="33"/>
          <w:szCs w:val="33"/>
          <w:spacing w:val="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7"/>
        </w:rPr>
        <w:t>院租赁、新馆病毒应急救治资金等项目开展，以及为提升县医疗</w:t>
      </w:r>
      <w:r>
        <w:rPr>
          <w:rFonts w:ascii="FangSong" w:hAnsi="FangSong" w:eastAsia="FangSong" w:cs="FangSong"/>
          <w:sz w:val="33"/>
          <w:szCs w:val="33"/>
          <w:spacing w:val="1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"/>
        </w:rPr>
        <w:t>卫生服务水平实施的高质量发展项目等追加项目使得项目经费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4"/>
        </w:rPr>
        <w:t>较年初预算增加；本年支出5214.13万元，完成年初预算的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4"/>
        </w:rPr>
        <w:t>1042.82%,比年初预算增加4714.13万元，决算数大于预算数主</w:t>
      </w:r>
      <w:r>
        <w:rPr>
          <w:rFonts w:ascii="FangSong" w:hAnsi="FangSong" w:eastAsia="FangSong" w:cs="FangSong"/>
          <w:sz w:val="33"/>
          <w:szCs w:val="33"/>
          <w:spacing w:val="1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5"/>
        </w:rPr>
        <w:t>要原因是市民服务中心发热门诊运营经费、</w:t>
      </w:r>
      <w:r>
        <w:rPr>
          <w:rFonts w:ascii="FangSong" w:hAnsi="FangSong" w:eastAsia="FangSong" w:cs="FangSong"/>
          <w:sz w:val="33"/>
          <w:szCs w:val="33"/>
          <w:spacing w:val="-16"/>
        </w:rPr>
        <w:t>方舱医院租赁、新馆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病毒应急救治资金等项目开展，以及为提升县医疗卫生服务水平</w:t>
      </w:r>
      <w:r>
        <w:rPr>
          <w:rFonts w:ascii="FangSong" w:hAnsi="FangSong" w:eastAsia="FangSong" w:cs="FangSong"/>
          <w:sz w:val="33"/>
          <w:szCs w:val="33"/>
          <w:spacing w:val="1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实施的高质量发展项目等追加项目使得财政资金支出大幅度增</w:t>
      </w:r>
      <w:r>
        <w:rPr>
          <w:rFonts w:ascii="FangSong" w:hAnsi="FangSong" w:eastAsia="FangSong" w:cs="FangSong"/>
          <w:sz w:val="33"/>
          <w:szCs w:val="33"/>
          <w:spacing w:val="1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7"/>
        </w:rPr>
        <w:t>加。</w:t>
      </w:r>
    </w:p>
    <w:p>
      <w:pPr>
        <w:ind w:left="584"/>
        <w:spacing w:before="34" w:line="227" w:lineRule="auto"/>
        <w:outlineLvl w:val="2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b/>
          <w:bCs/>
          <w:spacing w:val="-3"/>
        </w:rPr>
        <w:t>(三)财政拨款支出决算结构情况</w:t>
      </w:r>
    </w:p>
    <w:p>
      <w:pPr>
        <w:ind w:firstLine="600"/>
        <w:spacing w:before="180" w:line="316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3"/>
        </w:rPr>
        <w:t>2023年度财政拨款支出5214.13万元，主要用于以下方面</w:t>
      </w:r>
      <w:r>
        <w:rPr>
          <w:rFonts w:ascii="FangSong" w:hAnsi="FangSong" w:eastAsia="FangSong" w:cs="FangSong"/>
          <w:sz w:val="33"/>
          <w:szCs w:val="33"/>
          <w:spacing w:val="1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6"/>
        </w:rPr>
        <w:t>卫生健康(类)支出5213.15万元，占99.98%,主要用于公立</w:t>
      </w:r>
      <w:r>
        <w:rPr>
          <w:rFonts w:ascii="FangSong" w:hAnsi="FangSong" w:eastAsia="FangSong" w:cs="FangSong"/>
          <w:sz w:val="33"/>
          <w:szCs w:val="33"/>
          <w:spacing w:val="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医院医疗卫生服务，公共卫生等支出；科学技术支出0.98万元，</w:t>
      </w:r>
      <w:r>
        <w:rPr>
          <w:rFonts w:ascii="FangSong" w:hAnsi="FangSong" w:eastAsia="FangSong" w:cs="FangSong"/>
          <w:sz w:val="33"/>
          <w:szCs w:val="33"/>
          <w:spacing w:val="14"/>
        </w:rPr>
        <w:t xml:space="preserve"> </w:t>
      </w:r>
      <w:r>
        <w:rPr>
          <w:rFonts w:ascii="FangSong" w:hAnsi="FangSong" w:eastAsia="FangSong" w:cs="FangSong"/>
          <w:sz w:val="33"/>
          <w:szCs w:val="33"/>
        </w:rPr>
        <w:t>占0.02%,主要用于公立医院人才培养等支出。</w:t>
      </w:r>
    </w:p>
    <w:p>
      <w:pPr>
        <w:ind w:left="604"/>
        <w:spacing w:before="42" w:line="225" w:lineRule="auto"/>
        <w:outlineLvl w:val="2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b/>
          <w:bCs/>
          <w:spacing w:val="-6"/>
        </w:rPr>
        <w:t>(四)一般公共预算基本支出决算情况说明</w:t>
      </w:r>
    </w:p>
    <w:p>
      <w:pPr>
        <w:ind w:left="600"/>
        <w:spacing w:before="205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2"/>
        </w:rPr>
        <w:t>2023年度财政拨款基本支出0万元。</w:t>
      </w:r>
    </w:p>
    <w:p>
      <w:pPr>
        <w:spacing w:line="222" w:lineRule="auto"/>
        <w:sectPr>
          <w:pgSz w:w="11960" w:h="17040"/>
          <w:pgMar w:top="1448" w:right="1464" w:bottom="0" w:left="1569" w:header="0" w:footer="0" w:gutter="0"/>
        </w:sectPr>
        <w:rPr>
          <w:rFonts w:ascii="FangSong" w:hAnsi="FangSong" w:eastAsia="FangSong" w:cs="FangSong"/>
          <w:sz w:val="33"/>
          <w:szCs w:val="33"/>
        </w:rPr>
      </w:pPr>
    </w:p>
    <w:p>
      <w:pPr>
        <w:pStyle w:val="BodyText"/>
        <w:spacing w:line="348" w:lineRule="auto"/>
        <w:rPr/>
      </w:pPr>
      <w:r/>
    </w:p>
    <w:p>
      <w:pPr>
        <w:pStyle w:val="BodyText"/>
        <w:spacing w:line="349" w:lineRule="auto"/>
        <w:rPr/>
      </w:pPr>
      <w:r/>
    </w:p>
    <w:p>
      <w:pPr>
        <w:ind w:left="644"/>
        <w:spacing w:before="108" w:line="221" w:lineRule="auto"/>
        <w:outlineLvl w:val="2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3"/>
        </w:rPr>
        <w:t>五</w:t>
      </w:r>
      <w:r>
        <w:rPr>
          <w:rFonts w:ascii="SimHei" w:hAnsi="SimHei" w:eastAsia="SimHei" w:cs="SimHei"/>
          <w:sz w:val="33"/>
          <w:szCs w:val="33"/>
          <w:spacing w:val="-13"/>
        </w:rPr>
        <w:t xml:space="preserve"> </w:t>
      </w:r>
      <w:r>
        <w:rPr>
          <w:rFonts w:ascii="SimHei" w:hAnsi="SimHei" w:eastAsia="SimHei" w:cs="SimHei"/>
          <w:sz w:val="33"/>
          <w:szCs w:val="33"/>
          <w:b/>
          <w:bCs/>
          <w:spacing w:val="-13"/>
        </w:rPr>
        <w:t>、财政拨款“三公”经费支出决算情况说明</w:t>
      </w:r>
    </w:p>
    <w:p>
      <w:pPr>
        <w:ind w:firstLine="639"/>
        <w:spacing w:before="187" w:line="312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3"/>
        </w:rPr>
        <w:t>本单位2023年度“三公”经费财政拨款</w:t>
      </w:r>
      <w:r>
        <w:rPr>
          <w:rFonts w:ascii="FangSong" w:hAnsi="FangSong" w:eastAsia="FangSong" w:cs="FangSong"/>
          <w:sz w:val="33"/>
          <w:szCs w:val="33"/>
          <w:spacing w:val="-4"/>
        </w:rPr>
        <w:t>支出预算为0万元，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"/>
        </w:rPr>
        <w:t>支出决算为0万元，完成预算的0%,较预算增加0万元，增长0</w:t>
      </w:r>
      <w:r>
        <w:rPr>
          <w:rFonts w:ascii="FangSong" w:hAnsi="FangSong" w:eastAsia="FangSong" w:cs="FangSong"/>
          <w:sz w:val="33"/>
          <w:szCs w:val="33"/>
          <w:spacing w:val="-4"/>
        </w:rPr>
        <w:t>%,</w:t>
      </w:r>
      <w:r>
        <w:rPr>
          <w:rFonts w:ascii="FangSong" w:hAnsi="FangSong" w:eastAsia="FangSong" w:cs="FangSong"/>
          <w:sz w:val="33"/>
          <w:szCs w:val="33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2"/>
        </w:rPr>
        <w:t>主要是本年度无“三公”经费预算；较2022年度决算增加0万</w:t>
      </w:r>
      <w:r>
        <w:rPr>
          <w:rFonts w:ascii="FangSong" w:hAnsi="FangSong" w:eastAsia="FangSong" w:cs="FangSong"/>
          <w:sz w:val="33"/>
          <w:szCs w:val="33"/>
          <w:spacing w:val="4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3"/>
        </w:rPr>
        <w:t>元，增长0%,主要是本年度无“三公”经费支出。</w:t>
      </w:r>
    </w:p>
    <w:p>
      <w:pPr>
        <w:ind w:left="644"/>
        <w:spacing w:before="67" w:line="222" w:lineRule="auto"/>
        <w:outlineLvl w:val="2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5"/>
        </w:rPr>
        <w:t>六、机关运行经费情况</w:t>
      </w:r>
    </w:p>
    <w:p>
      <w:pPr>
        <w:ind w:left="639"/>
        <w:spacing w:before="194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3"/>
        </w:rPr>
        <w:t>我单位为事业单位，无机关运行经费支出。</w:t>
      </w:r>
    </w:p>
    <w:p>
      <w:pPr>
        <w:ind w:left="644"/>
        <w:spacing w:before="172" w:line="221" w:lineRule="auto"/>
        <w:outlineLvl w:val="2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4"/>
        </w:rPr>
        <w:t>七、政府采购支出说明</w:t>
      </w:r>
    </w:p>
    <w:p>
      <w:pPr>
        <w:ind w:right="119" w:firstLine="639"/>
        <w:spacing w:before="230" w:line="31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"/>
        </w:rPr>
        <w:t>本单位2023年度政府采购支出总额418.65万元，从采购类</w:t>
      </w:r>
      <w:r>
        <w:rPr>
          <w:rFonts w:ascii="FangSong" w:hAnsi="FangSong" w:eastAsia="FangSong" w:cs="FangSong"/>
          <w:sz w:val="33"/>
          <w:szCs w:val="33"/>
          <w:spacing w:val="1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"/>
        </w:rPr>
        <w:t>型来看，政府采购货物支出198.65万元、</w:t>
      </w:r>
      <w:r>
        <w:rPr>
          <w:rFonts w:ascii="FangSong" w:hAnsi="FangSong" w:eastAsia="FangSong" w:cs="FangSong"/>
          <w:sz w:val="33"/>
          <w:szCs w:val="33"/>
          <w:spacing w:val="-2"/>
        </w:rPr>
        <w:t>政府采购工程支出0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3"/>
        </w:rPr>
        <w:t>万元、政府采购服务支出220万元。授予</w:t>
      </w:r>
      <w:r>
        <w:rPr>
          <w:rFonts w:ascii="FangSong" w:hAnsi="FangSong" w:eastAsia="FangSong" w:cs="FangSong"/>
          <w:sz w:val="33"/>
          <w:szCs w:val="33"/>
          <w:spacing w:val="2"/>
        </w:rPr>
        <w:t>中小企业合同金170</w:t>
      </w:r>
      <w:r>
        <w:rPr>
          <w:rFonts w:ascii="FangSong" w:hAnsi="FangSong" w:eastAsia="FangSong" w:cs="FangSong"/>
          <w:sz w:val="33"/>
          <w:szCs w:val="33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3"/>
        </w:rPr>
        <w:t>万元，占政府采购支出总额的40.6%,其中</w:t>
      </w:r>
      <w:r>
        <w:rPr>
          <w:rFonts w:ascii="FangSong" w:hAnsi="FangSong" w:eastAsia="FangSong" w:cs="FangSong"/>
          <w:sz w:val="33"/>
          <w:szCs w:val="33"/>
          <w:spacing w:val="-4"/>
        </w:rPr>
        <w:t>授予小微企业合同金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"/>
        </w:rPr>
        <w:t>额170万元，占政府采购支出总额的40.</w:t>
      </w:r>
      <w:r>
        <w:rPr>
          <w:rFonts w:ascii="FangSong" w:hAnsi="FangSong" w:eastAsia="FangSong" w:cs="FangSong"/>
          <w:sz w:val="33"/>
          <w:szCs w:val="33"/>
        </w:rPr>
        <w:t>6%。</w:t>
      </w:r>
    </w:p>
    <w:p>
      <w:pPr>
        <w:ind w:left="644"/>
        <w:spacing w:before="77" w:line="221" w:lineRule="auto"/>
        <w:outlineLvl w:val="2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4"/>
        </w:rPr>
        <w:t>八、国有资产占用情况说明</w:t>
      </w:r>
    </w:p>
    <w:p>
      <w:pPr>
        <w:ind w:right="116" w:firstLine="639"/>
        <w:spacing w:before="216" w:line="308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0"/>
        </w:rPr>
        <w:t>截至2023年12月31日，本部门共有车辆17辆</w:t>
      </w:r>
      <w:r>
        <w:rPr>
          <w:rFonts w:ascii="FangSong" w:hAnsi="FangSong" w:eastAsia="FangSong" w:cs="FangSong"/>
          <w:sz w:val="33"/>
          <w:szCs w:val="33"/>
          <w:spacing w:val="9"/>
        </w:rPr>
        <w:t>，比上年减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9"/>
        </w:rPr>
        <w:t>少1辆，主要是固定资产报废1辆。其中，特种专业</w:t>
      </w:r>
      <w:r>
        <w:rPr>
          <w:rFonts w:ascii="FangSong" w:hAnsi="FangSong" w:eastAsia="FangSong" w:cs="FangSong"/>
          <w:sz w:val="33"/>
          <w:szCs w:val="33"/>
          <w:spacing w:val="8"/>
        </w:rPr>
        <w:t>技术用车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7"/>
        </w:rPr>
        <w:t>17辆；单位价值100万元以上设备(不含车辆)44台(套)。</w:t>
      </w:r>
    </w:p>
    <w:p>
      <w:pPr>
        <w:ind w:left="644"/>
        <w:spacing w:before="58" w:line="221" w:lineRule="auto"/>
        <w:outlineLvl w:val="2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24"/>
        </w:rPr>
        <w:t>九</w:t>
      </w:r>
      <w:r>
        <w:rPr>
          <w:rFonts w:ascii="SimHei" w:hAnsi="SimHei" w:eastAsia="SimHei" w:cs="SimHei"/>
          <w:sz w:val="33"/>
          <w:szCs w:val="33"/>
          <w:spacing w:val="-68"/>
        </w:rPr>
        <w:t xml:space="preserve"> </w:t>
      </w:r>
      <w:r>
        <w:rPr>
          <w:rFonts w:ascii="SimHei" w:hAnsi="SimHei" w:eastAsia="SimHei" w:cs="SimHei"/>
          <w:sz w:val="33"/>
          <w:szCs w:val="33"/>
          <w:b/>
          <w:bCs/>
          <w:spacing w:val="-24"/>
        </w:rPr>
        <w:t>、预算绩效情况说明</w:t>
      </w:r>
    </w:p>
    <w:p>
      <w:pPr>
        <w:ind w:left="804"/>
        <w:spacing w:before="191" w:line="220" w:lineRule="auto"/>
        <w:outlineLvl w:val="2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3"/>
        </w:rPr>
        <w:t>(一)预算绩效管理工作开展情况</w:t>
      </w:r>
    </w:p>
    <w:p>
      <w:pPr>
        <w:ind w:right="147" w:firstLine="639"/>
        <w:spacing w:before="201" w:line="30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6"/>
        </w:rPr>
        <w:t>我单位高度重视部门预算绩效管理工作，积极开展部门绩效</w:t>
      </w:r>
      <w:r>
        <w:rPr>
          <w:rFonts w:ascii="FangSong" w:hAnsi="FangSong" w:eastAsia="FangSong" w:cs="FangSong"/>
          <w:sz w:val="33"/>
          <w:szCs w:val="33"/>
          <w:spacing w:val="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5"/>
        </w:rPr>
        <w:t>预算管理工作，进一步提高了财政资金使用效益和</w:t>
      </w:r>
      <w:r>
        <w:rPr>
          <w:rFonts w:ascii="FangSong" w:hAnsi="FangSong" w:eastAsia="FangSong" w:cs="FangSong"/>
          <w:sz w:val="33"/>
          <w:szCs w:val="33"/>
          <w:spacing w:val="-16"/>
        </w:rPr>
        <w:t>效率，实现财</w:t>
      </w:r>
    </w:p>
    <w:p>
      <w:pPr>
        <w:spacing w:line="303" w:lineRule="auto"/>
        <w:sectPr>
          <w:pgSz w:w="11800" w:h="16900"/>
          <w:pgMar w:top="1436" w:right="1326" w:bottom="0" w:left="1510" w:header="0" w:footer="0" w:gutter="0"/>
        </w:sectPr>
        <w:rPr>
          <w:rFonts w:ascii="FangSong" w:hAnsi="FangSong" w:eastAsia="FangSong" w:cs="FangSong"/>
          <w:sz w:val="33"/>
          <w:szCs w:val="33"/>
        </w:rPr>
      </w:pPr>
    </w:p>
    <w:p>
      <w:pPr>
        <w:pStyle w:val="BodyText"/>
        <w:spacing w:line="354" w:lineRule="auto"/>
        <w:rPr/>
      </w:pPr>
      <w:r/>
    </w:p>
    <w:p>
      <w:pPr>
        <w:pStyle w:val="BodyText"/>
        <w:spacing w:line="355" w:lineRule="auto"/>
        <w:rPr/>
      </w:pPr>
      <w:r/>
    </w:p>
    <w:p>
      <w:pPr>
        <w:spacing w:before="104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政资金的规范性、安全性和有效性。主要体</w:t>
      </w:r>
      <w:r>
        <w:rPr>
          <w:rFonts w:ascii="FangSong" w:hAnsi="FangSong" w:eastAsia="FangSong" w:cs="FangSong"/>
          <w:sz w:val="32"/>
          <w:szCs w:val="32"/>
          <w:spacing w:val="-5"/>
        </w:rPr>
        <w:t>现在：</w:t>
      </w:r>
    </w:p>
    <w:p>
      <w:pPr>
        <w:ind w:right="188" w:firstLine="640"/>
        <w:spacing w:before="208" w:line="32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一是修订完善部门职责—工作活动及绩效目标、指标体系。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我单位梳理了以绩效为导向，贯穿绩效预算的编制、执行、评价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全过程的部门职责--工作活动及绩效目标和指标体系，使绩效目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标、指标和指标标准更加细化，强化了预算编制的科学性。</w:t>
      </w:r>
    </w:p>
    <w:p>
      <w:pPr>
        <w:ind w:right="179" w:firstLine="640"/>
        <w:spacing w:before="59" w:line="32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二是创新绩效预算执行，强化财务监督。坚持依法理财，加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强预算资金事前、事中、事后的全方位监管，注重资金</w:t>
      </w:r>
      <w:r>
        <w:rPr>
          <w:rFonts w:ascii="FangSong" w:hAnsi="FangSong" w:eastAsia="FangSong" w:cs="FangSong"/>
          <w:sz w:val="32"/>
          <w:szCs w:val="32"/>
          <w:spacing w:val="-14"/>
        </w:rPr>
        <w:t>支出绩效，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最大限度的发挥财政资金效益。对预算执行绩效情况进行跟踪监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控，及时掌握各项目承担单位或处室的项目实施进展、资金拨付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和有关绩效指标完成情况，确保绩效目标实现。</w:t>
      </w:r>
    </w:p>
    <w:p>
      <w:pPr>
        <w:ind w:firstLine="640"/>
        <w:spacing w:before="92" w:line="3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三是积极开展部门绩效预算评价工作。我单位对2021年项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7"/>
        </w:rPr>
        <w:t>目资金预算执行情况开展绩效自评，并对照年初设定的绩效目标，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及时对政策和项目资金支出的经济性、效率性、效益性以及绩效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 </w:t>
      </w:r>
      <w:r>
        <w:rPr>
          <w:rFonts w:ascii="FangSong" w:hAnsi="FangSong" w:eastAsia="FangSong" w:cs="FangSong"/>
          <w:sz w:val="32"/>
          <w:szCs w:val="32"/>
        </w:rPr>
        <w:t>目标的实现程度进行自评。按照明确的工作职责以及评价程</w:t>
      </w:r>
      <w:r>
        <w:rPr>
          <w:rFonts w:ascii="FangSong" w:hAnsi="FangSong" w:eastAsia="FangSong" w:cs="FangSong"/>
          <w:sz w:val="32"/>
          <w:szCs w:val="32"/>
          <w:spacing w:val="-1"/>
        </w:rPr>
        <w:t>序，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评价工作组采取了定量分析、定性分析和综合分析判断相</w:t>
      </w:r>
      <w:r>
        <w:rPr>
          <w:rFonts w:ascii="FangSong" w:hAnsi="FangSong" w:eastAsia="FangSong" w:cs="FangSong"/>
          <w:sz w:val="32"/>
          <w:szCs w:val="32"/>
          <w:spacing w:val="-7"/>
        </w:rPr>
        <w:t>结合的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7"/>
        </w:rPr>
        <w:t>绩效评价方法，对单位所有项目资金开展绩效自评，形成正式评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6"/>
        </w:rPr>
        <w:t>价报告上报县财政局。</w:t>
      </w:r>
    </w:p>
    <w:p>
      <w:pPr>
        <w:ind w:left="894"/>
        <w:spacing w:before="113" w:line="221" w:lineRule="auto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6"/>
        </w:rPr>
        <w:t>(二)单位决算中项目绩效自评结果</w:t>
      </w:r>
    </w:p>
    <w:p>
      <w:pPr>
        <w:ind w:right="261" w:firstLine="640"/>
        <w:spacing w:before="202" w:line="320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通过开展绩效评价，也发现一些问题，主要体现在：一是个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别指标值设置不科学。二是项目执行中部分问题没有及时</w:t>
      </w:r>
      <w:r>
        <w:rPr>
          <w:rFonts w:ascii="FangSong" w:hAnsi="FangSong" w:eastAsia="FangSong" w:cs="FangSong"/>
          <w:sz w:val="32"/>
          <w:szCs w:val="32"/>
          <w:spacing w:val="-6"/>
        </w:rPr>
        <w:t>协调或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由于项目技术路线调整而未达到指标值。三是</w:t>
      </w:r>
      <w:r>
        <w:rPr>
          <w:rFonts w:ascii="FangSong" w:hAnsi="FangSong" w:eastAsia="FangSong" w:cs="FangSong"/>
          <w:sz w:val="32"/>
          <w:szCs w:val="32"/>
          <w:spacing w:val="-7"/>
        </w:rPr>
        <w:t>由于成果没有及时</w:t>
      </w:r>
    </w:p>
    <w:p>
      <w:pPr>
        <w:spacing w:line="320" w:lineRule="auto"/>
        <w:sectPr>
          <w:pgSz w:w="11800" w:h="16920"/>
          <w:pgMar w:top="1438" w:right="1150" w:bottom="0" w:left="1569" w:header="0" w:footer="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49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评审验收未达到指标值。</w:t>
      </w:r>
    </w:p>
    <w:p>
      <w:pPr>
        <w:ind w:firstLine="620"/>
        <w:spacing w:before="202" w:line="330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针对存在的不足，在下一步工作中，进一步做好项目的组织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实施工作，及时协调，有针对性的推进项目实施；充分结合实际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情况设置绩效指标值，科学合理编制专项项目预算；对于项目预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算有调整的，且影响到绩效目标和指标的，也要同时调</w:t>
      </w:r>
      <w:r>
        <w:rPr>
          <w:rFonts w:ascii="FangSong" w:hAnsi="FangSong" w:eastAsia="FangSong" w:cs="FangSong"/>
          <w:sz w:val="32"/>
          <w:szCs w:val="32"/>
          <w:spacing w:val="-6"/>
        </w:rPr>
        <w:t>整绩效目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标和指标；积极应对机构改革职能划转带来的影响，及时进行项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目对接或移交，提高资金使用效率。</w:t>
      </w:r>
    </w:p>
    <w:p>
      <w:pPr>
        <w:ind w:left="574"/>
        <w:spacing w:before="52" w:line="221" w:lineRule="auto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</w:rPr>
        <w:t>(三)单位评价项目绩效评价结果</w:t>
      </w:r>
    </w:p>
    <w:p>
      <w:pPr>
        <w:ind w:left="630"/>
        <w:spacing w:before="21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2023年度无财政评价项目绩效评价结果。</w:t>
      </w:r>
    </w:p>
    <w:sectPr>
      <w:pgSz w:w="12040" w:h="17090"/>
      <w:pgMar w:top="1452" w:right="1586" w:bottom="0" w:left="162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5.png"/><Relationship Id="rId4" Type="http://schemas.openxmlformats.org/officeDocument/2006/relationships/image" Target="media/image4.jpeg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2024-09-30T09:48:28Z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2024-09-30T09:48:29</vt:filetime>
  </property>
  <property fmtid="{D5CDD505-2E9C-101B-9397-08002B2CF9AE}" pid="4" name="UsrData">
    <vt:lpwstr>66fa036af1035e001fd54171wl</vt:lpwstr>
  </property>
</Properties>
</file>